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lastRenderedPageBreak/>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091D456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r w:rsidR="00757EBE">
        <w:rPr>
          <w:rFonts w:cstheme="minorHAnsi"/>
        </w:rPr>
        <w:t>.</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lastRenderedPageBreak/>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77777777"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lastRenderedPageBreak/>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06E2DA4D" w:rsidR="00191C0F" w:rsidRPr="007C79E2" w:rsidRDefault="00B671FB" w:rsidP="00191C0F">
      <w:pPr>
        <w:spacing w:line="240" w:lineRule="auto"/>
        <w:jc w:val="both"/>
        <w:rPr>
          <w:rFonts w:cstheme="minorHAnsi"/>
          <w:sz w:val="23"/>
          <w:szCs w:val="23"/>
          <w:lang w:val="en" w:eastAsia="en-GB"/>
        </w:rPr>
      </w:pPr>
      <w:r>
        <w:rPr>
          <w:rFonts w:eastAsia="Calibri" w:cstheme="minorHAnsi"/>
        </w:rPr>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962AA0">
        <w:rPr>
          <w:rFonts w:eastAsia="Calibri" w:cstheme="minorHAnsi"/>
        </w:rPr>
        <w:t xml:space="preserve"> </w:t>
      </w:r>
      <w:hyperlink r:id="rId14" w:history="1">
        <w:r w:rsidR="00962AA0" w:rsidRPr="00962AA0">
          <w:rPr>
            <w:color w:val="0000FF"/>
            <w:u w:val="single"/>
          </w:rPr>
          <w:t>Sonning Common Health Centre</w:t>
        </w:r>
      </w:hyperlink>
      <w:r w:rsidR="00584C62" w:rsidRPr="00FC54A3">
        <w:rPr>
          <w:rFonts w:eastAsia="Calibri" w:cstheme="minorHAnsi"/>
        </w:rPr>
        <w:t>.</w:t>
      </w:r>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lastRenderedPageBreak/>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7"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15067392" w:rsidR="00EE2292"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hyperlink r:id="rId18" w:history="1">
        <w:r w:rsidR="0081657B" w:rsidRPr="00833111">
          <w:rPr>
            <w:rStyle w:val="Hyperlink"/>
            <w:rFonts w:cstheme="minorHAnsi"/>
            <w:lang w:eastAsia="en-GB"/>
          </w:rPr>
          <w:t>schc.admin@nhs.net</w:t>
        </w:r>
      </w:hyperlink>
    </w:p>
    <w:p w14:paraId="015A1281" w14:textId="77777777" w:rsidR="0081657B" w:rsidRPr="00075C23" w:rsidRDefault="0081657B" w:rsidP="004F1FDE">
      <w:pPr>
        <w:pStyle w:val="NoSpacing"/>
        <w:jc w:val="both"/>
        <w:rPr>
          <w:rFonts w:cstheme="minorHAnsi"/>
          <w:lang w:eastAsia="en-GB"/>
        </w:rPr>
      </w:pP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lastRenderedPageBreak/>
        <w:t>Right to Complain</w:t>
      </w:r>
    </w:p>
    <w:p w14:paraId="0906B2D0" w14:textId="4FB8ADA9"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w:t>
      </w:r>
      <w:r w:rsidR="00092B67">
        <w:rPr>
          <w:rFonts w:cstheme="minorHAnsi"/>
          <w:sz w:val="23"/>
          <w:szCs w:val="23"/>
        </w:rPr>
        <w:t xml:space="preserve">Katie Williams at </w:t>
      </w:r>
      <w:hyperlink r:id="rId19" w:history="1">
        <w:r w:rsidR="00092B67" w:rsidRPr="00833111">
          <w:rPr>
            <w:rStyle w:val="Hyperlink"/>
            <w:rFonts w:cstheme="minorHAnsi"/>
            <w:sz w:val="23"/>
            <w:szCs w:val="23"/>
          </w:rPr>
          <w:t>schc.admin@nhs.net</w:t>
        </w:r>
      </w:hyperlink>
      <w:r w:rsidR="00092B67">
        <w:rPr>
          <w:rFonts w:cstheme="minorHAnsi"/>
          <w:sz w:val="23"/>
          <w:szCs w:val="23"/>
        </w:rPr>
        <w:t xml:space="preserve"> </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20"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21"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2"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3">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6FBBBA60" w:rsidR="00B46CDD" w:rsidRPr="008F3811" w:rsidRDefault="00092B67" w:rsidP="00B46CDD">
            <w:pPr>
              <w:spacing w:after="0" w:line="240" w:lineRule="auto"/>
              <w:rPr>
                <w:bCs/>
                <w:iCs/>
                <w:sz w:val="24"/>
                <w:szCs w:val="24"/>
              </w:rPr>
            </w:pPr>
            <w:r>
              <w:rPr>
                <w:bCs/>
                <w:iCs/>
                <w:sz w:val="24"/>
                <w:szCs w:val="24"/>
              </w:rPr>
              <w:t>Sonning Common Health Centre</w:t>
            </w:r>
          </w:p>
        </w:tc>
        <w:tc>
          <w:tcPr>
            <w:tcW w:w="3086" w:type="dxa"/>
            <w:vAlign w:val="center"/>
          </w:tcPr>
          <w:p w14:paraId="5D631B38" w14:textId="12922FF5" w:rsidR="00B46CDD" w:rsidRPr="008F3811" w:rsidRDefault="00092B67" w:rsidP="00B46CDD">
            <w:pPr>
              <w:spacing w:after="0" w:line="240" w:lineRule="auto"/>
              <w:rPr>
                <w:bCs/>
                <w:iCs/>
                <w:sz w:val="24"/>
                <w:szCs w:val="24"/>
              </w:rPr>
            </w:pPr>
            <w:r>
              <w:rPr>
                <w:bCs/>
                <w:iCs/>
                <w:sz w:val="24"/>
                <w:szCs w:val="24"/>
              </w:rPr>
              <w:t>06/05/2026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2288150B" w:rsidR="00B46CDD" w:rsidRPr="008F3811" w:rsidRDefault="00092B67" w:rsidP="00B46CDD">
            <w:pPr>
              <w:spacing w:after="0" w:line="240" w:lineRule="auto"/>
              <w:rPr>
                <w:bCs/>
                <w:iCs/>
                <w:sz w:val="24"/>
                <w:szCs w:val="24"/>
              </w:rPr>
            </w:pPr>
            <w:r>
              <w:rPr>
                <w:bCs/>
                <w:iCs/>
                <w:sz w:val="24"/>
                <w:szCs w:val="24"/>
              </w:rPr>
              <w:t>06/05/2026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14B07C96" w:rsidR="00B46CDD" w:rsidRPr="008F3811" w:rsidRDefault="00092B67" w:rsidP="00B46CDD">
            <w:pPr>
              <w:spacing w:after="0" w:line="240" w:lineRule="auto"/>
              <w:rPr>
                <w:bCs/>
                <w:iCs/>
                <w:sz w:val="24"/>
                <w:szCs w:val="24"/>
              </w:rPr>
            </w:pPr>
            <w:r>
              <w:rPr>
                <w:bCs/>
                <w:iCs/>
                <w:sz w:val="24"/>
                <w:szCs w:val="24"/>
              </w:rPr>
              <w:t>06/05/2027</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lastRenderedPageBreak/>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4"/>
      <w:footerReference w:type="default" r:id="rId25"/>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C5BD" w14:textId="77777777" w:rsidR="004C25CD" w:rsidRDefault="004C25CD" w:rsidP="005B4BA5">
      <w:pPr>
        <w:spacing w:after="0" w:line="240" w:lineRule="auto"/>
      </w:pPr>
      <w:r>
        <w:separator/>
      </w:r>
    </w:p>
  </w:endnote>
  <w:endnote w:type="continuationSeparator" w:id="0">
    <w:p w14:paraId="03FD28DD" w14:textId="77777777" w:rsidR="004C25CD" w:rsidRDefault="004C25CD"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C60D" w14:textId="77777777" w:rsidR="004C25CD" w:rsidRDefault="004C25CD" w:rsidP="005B4BA5">
      <w:pPr>
        <w:spacing w:after="0" w:line="240" w:lineRule="auto"/>
      </w:pPr>
      <w:r>
        <w:separator/>
      </w:r>
    </w:p>
  </w:footnote>
  <w:footnote w:type="continuationSeparator" w:id="0">
    <w:p w14:paraId="7CB9F5F8" w14:textId="77777777" w:rsidR="004C25CD" w:rsidRDefault="004C25CD"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77ED" w14:textId="77777777" w:rsidR="00A21449" w:rsidRPr="00A21449" w:rsidRDefault="00A21449" w:rsidP="00A21449">
    <w:pPr>
      <w:shd w:val="clear" w:color="auto" w:fill="FFFFFF"/>
      <w:spacing w:after="0" w:line="240" w:lineRule="auto"/>
      <w:rPr>
        <w:rFonts w:ascii="Segoe UI" w:eastAsia="Times New Roman" w:hAnsi="Segoe UI" w:cs="Segoe UI"/>
        <w:color w:val="212529"/>
        <w:sz w:val="24"/>
        <w:szCs w:val="24"/>
        <w:lang w:eastAsia="en-GB"/>
      </w:rPr>
    </w:pPr>
    <w:r w:rsidRPr="00A21449">
      <w:rPr>
        <w:rFonts w:ascii="Open Sans" w:eastAsia="Times New Roman" w:hAnsi="Open Sans" w:cs="Open Sans"/>
        <w:noProof/>
        <w:color w:val="005EB8"/>
        <w:sz w:val="24"/>
        <w:szCs w:val="24"/>
        <w:bdr w:val="none" w:sz="0" w:space="0" w:color="auto" w:frame="1"/>
        <w:lang w:eastAsia="en-GB"/>
      </w:rPr>
      <w:drawing>
        <wp:inline distT="0" distB="0" distL="0" distR="0" wp14:anchorId="20A26B5E" wp14:editId="7BB6370A">
          <wp:extent cx="624840" cy="556260"/>
          <wp:effectExtent l="0" t="0" r="3810" b="0"/>
          <wp:docPr id="1" name="Picture 1" descr="Sonning Common Health Cent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ning Common Health Centr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556260"/>
                  </a:xfrm>
                  <a:prstGeom prst="rect">
                    <a:avLst/>
                  </a:prstGeom>
                  <a:noFill/>
                  <a:ln>
                    <a:noFill/>
                  </a:ln>
                </pic:spPr>
              </pic:pic>
            </a:graphicData>
          </a:graphic>
        </wp:inline>
      </w:drawing>
    </w:r>
  </w:p>
  <w:p w14:paraId="738D9F87" w14:textId="77777777" w:rsidR="00A21449" w:rsidRPr="00A21449" w:rsidRDefault="00A21449" w:rsidP="00A21449">
    <w:pPr>
      <w:shd w:val="clear" w:color="auto" w:fill="FFFFFF"/>
      <w:spacing w:after="0" w:line="240" w:lineRule="auto"/>
      <w:rPr>
        <w:rFonts w:ascii="Open Sans" w:eastAsia="Times New Roman" w:hAnsi="Open Sans" w:cs="Open Sans"/>
        <w:color w:val="0A58CA"/>
        <w:sz w:val="20"/>
        <w:szCs w:val="20"/>
        <w:u w:val="single"/>
        <w:bdr w:val="none" w:sz="0" w:space="0" w:color="auto" w:frame="1"/>
        <w:lang w:eastAsia="en-GB"/>
      </w:rPr>
    </w:pPr>
    <w:r w:rsidRPr="00A21449">
      <w:rPr>
        <w:rFonts w:ascii="Segoe UI" w:eastAsia="Times New Roman" w:hAnsi="Segoe UI" w:cs="Segoe UI"/>
        <w:color w:val="212529"/>
        <w:sz w:val="20"/>
        <w:szCs w:val="20"/>
        <w:lang w:eastAsia="en-GB"/>
      </w:rPr>
      <w:fldChar w:fldCharType="begin"/>
    </w:r>
    <w:r w:rsidRPr="00A21449">
      <w:rPr>
        <w:rFonts w:ascii="Segoe UI" w:eastAsia="Times New Roman" w:hAnsi="Segoe UI" w:cs="Segoe UI"/>
        <w:color w:val="212529"/>
        <w:sz w:val="20"/>
        <w:szCs w:val="20"/>
        <w:lang w:eastAsia="en-GB"/>
      </w:rPr>
      <w:instrText>HYPERLINK "https://sonningcommonhealthcentre.co.uk/"</w:instrText>
    </w:r>
    <w:r w:rsidRPr="00A21449">
      <w:rPr>
        <w:rFonts w:ascii="Segoe UI" w:eastAsia="Times New Roman" w:hAnsi="Segoe UI" w:cs="Segoe UI"/>
        <w:color w:val="212529"/>
        <w:sz w:val="20"/>
        <w:szCs w:val="20"/>
        <w:lang w:eastAsia="en-GB"/>
      </w:rPr>
    </w:r>
    <w:r w:rsidRPr="00A21449">
      <w:rPr>
        <w:rFonts w:ascii="Segoe UI" w:eastAsia="Times New Roman" w:hAnsi="Segoe UI" w:cs="Segoe UI"/>
        <w:color w:val="212529"/>
        <w:sz w:val="20"/>
        <w:szCs w:val="20"/>
        <w:lang w:eastAsia="en-GB"/>
      </w:rPr>
      <w:fldChar w:fldCharType="separate"/>
    </w:r>
  </w:p>
  <w:p w14:paraId="1B2DF57B" w14:textId="77777777" w:rsidR="00A21449" w:rsidRPr="00A21449" w:rsidRDefault="00A21449" w:rsidP="00A21449">
    <w:pPr>
      <w:shd w:val="clear" w:color="auto" w:fill="FFFFFF"/>
      <w:spacing w:after="0" w:line="240" w:lineRule="auto"/>
      <w:outlineLvl w:val="1"/>
      <w:rPr>
        <w:rFonts w:ascii="Times New Roman" w:eastAsia="Times New Roman" w:hAnsi="Times New Roman" w:cs="Times New Roman"/>
        <w:color w:val="0A0A0A"/>
        <w:sz w:val="20"/>
        <w:szCs w:val="20"/>
        <w:lang w:eastAsia="en-GB"/>
      </w:rPr>
    </w:pPr>
    <w:r w:rsidRPr="00A21449">
      <w:rPr>
        <w:rFonts w:ascii="Open Sans" w:eastAsia="Times New Roman" w:hAnsi="Open Sans" w:cs="Open Sans"/>
        <w:color w:val="0A0A0A"/>
        <w:sz w:val="20"/>
        <w:szCs w:val="20"/>
        <w:u w:val="single"/>
        <w:bdr w:val="none" w:sz="0" w:space="0" w:color="auto" w:frame="1"/>
        <w:lang w:eastAsia="en-GB"/>
      </w:rPr>
      <w:t>Sonning Common Health Centre</w:t>
    </w:r>
  </w:p>
  <w:p w14:paraId="277E09E0" w14:textId="75230F4A" w:rsidR="00A21449" w:rsidRPr="00A21449" w:rsidRDefault="00A21449" w:rsidP="00A21449">
    <w:pPr>
      <w:shd w:val="clear" w:color="auto" w:fill="FFFFFF"/>
      <w:spacing w:after="0" w:line="240" w:lineRule="auto"/>
      <w:rPr>
        <w:rFonts w:ascii="Segoe UI" w:eastAsia="Times New Roman" w:hAnsi="Segoe UI" w:cs="Segoe UI"/>
        <w:color w:val="212529"/>
        <w:sz w:val="20"/>
        <w:szCs w:val="20"/>
        <w:lang w:eastAsia="en-GB"/>
      </w:rPr>
    </w:pPr>
    <w:r w:rsidRPr="00A21449">
      <w:rPr>
        <w:rFonts w:ascii="Segoe UI" w:eastAsia="Times New Roman" w:hAnsi="Segoe UI" w:cs="Segoe UI"/>
        <w:color w:val="212529"/>
        <w:sz w:val="20"/>
        <w:szCs w:val="20"/>
        <w:lang w:eastAsia="en-GB"/>
      </w:rPr>
      <w:fldChar w:fldCharType="end"/>
    </w:r>
    <w:r w:rsidRPr="00A21449">
      <w:rPr>
        <w:rFonts w:ascii="Open Sans" w:eastAsia="Times New Roman" w:hAnsi="Open Sans" w:cs="Open Sans"/>
        <w:color w:val="0A0A0A"/>
        <w:sz w:val="20"/>
        <w:szCs w:val="20"/>
        <w:bdr w:val="none" w:sz="0" w:space="0" w:color="auto" w:frame="1"/>
        <w:lang w:eastAsia="en-GB"/>
      </w:rPr>
      <w:t>39 Wood Lane, Reading, RG4 9SW</w:t>
    </w:r>
  </w:p>
  <w:p w14:paraId="294D96E4" w14:textId="77777777" w:rsidR="00A21449" w:rsidRPr="00A21449" w:rsidRDefault="00A21449" w:rsidP="00A21449">
    <w:pPr>
      <w:shd w:val="clear" w:color="auto" w:fill="FFFFFF"/>
      <w:spacing w:after="0" w:line="240" w:lineRule="auto"/>
      <w:rPr>
        <w:rFonts w:ascii="Open Sans" w:eastAsia="Times New Roman" w:hAnsi="Open Sans" w:cs="Open Sans"/>
        <w:color w:val="0A0A0A"/>
        <w:sz w:val="20"/>
        <w:szCs w:val="20"/>
        <w:lang w:eastAsia="en-GB"/>
      </w:rPr>
    </w:pPr>
    <w:r w:rsidRPr="00A21449">
      <w:rPr>
        <w:rFonts w:ascii="Open Sans" w:eastAsia="Times New Roman" w:hAnsi="Open Sans" w:cs="Open Sans"/>
        <w:color w:val="0A0A0A"/>
        <w:sz w:val="20"/>
        <w:szCs w:val="20"/>
        <w:lang w:eastAsia="en-GB"/>
      </w:rPr>
      <w:t>Telephone: </w:t>
    </w:r>
    <w:hyperlink r:id="rId3" w:history="1">
      <w:r w:rsidRPr="00A21449">
        <w:rPr>
          <w:rFonts w:ascii="Open Sans" w:eastAsia="Times New Roman" w:hAnsi="Open Sans" w:cs="Open Sans"/>
          <w:color w:val="005EB8"/>
          <w:sz w:val="20"/>
          <w:szCs w:val="20"/>
          <w:bdr w:val="none" w:sz="0" w:space="0" w:color="auto" w:frame="1"/>
          <w:lang w:eastAsia="en-GB"/>
        </w:rPr>
        <w:t>0118 972 2188</w:t>
      </w:r>
    </w:hyperlink>
  </w:p>
  <w:p w14:paraId="09D613D7" w14:textId="4450254F" w:rsidR="00A21449" w:rsidRDefault="00A21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2B67"/>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60675"/>
    <w:rsid w:val="0046344E"/>
    <w:rsid w:val="0046353A"/>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57EBE"/>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657B"/>
    <w:rsid w:val="00817C18"/>
    <w:rsid w:val="00842548"/>
    <w:rsid w:val="0085493A"/>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2AA0"/>
    <w:rsid w:val="00964CD5"/>
    <w:rsid w:val="00991789"/>
    <w:rsid w:val="009A3339"/>
    <w:rsid w:val="009B0A92"/>
    <w:rsid w:val="009C3B92"/>
    <w:rsid w:val="009C7013"/>
    <w:rsid w:val="009C757E"/>
    <w:rsid w:val="009D378D"/>
    <w:rsid w:val="009F3E9C"/>
    <w:rsid w:val="009F5BBD"/>
    <w:rsid w:val="00A0525B"/>
    <w:rsid w:val="00A07BBA"/>
    <w:rsid w:val="00A1608A"/>
    <w:rsid w:val="00A21449"/>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B6CCA"/>
    <w:rsid w:val="00CC3146"/>
    <w:rsid w:val="00CD046C"/>
    <w:rsid w:val="00CD5FA5"/>
    <w:rsid w:val="00CD636C"/>
    <w:rsid w:val="00CE7621"/>
    <w:rsid w:val="00CF1B81"/>
    <w:rsid w:val="00D062E7"/>
    <w:rsid w:val="00D1182E"/>
    <w:rsid w:val="00D13998"/>
    <w:rsid w:val="00D14A77"/>
    <w:rsid w:val="00D221F9"/>
    <w:rsid w:val="00D35F9D"/>
    <w:rsid w:val="00D47CC8"/>
    <w:rsid w:val="00D55F3F"/>
    <w:rsid w:val="00D64684"/>
    <w:rsid w:val="00D7733C"/>
    <w:rsid w:val="00D84564"/>
    <w:rsid w:val="00D8697A"/>
    <w:rsid w:val="00D92619"/>
    <w:rsid w:val="00D942DB"/>
    <w:rsid w:val="00D94E50"/>
    <w:rsid w:val="00DB264D"/>
    <w:rsid w:val="00DB7D42"/>
    <w:rsid w:val="00DC0B83"/>
    <w:rsid w:val="00DC35AE"/>
    <w:rsid w:val="00DD4DB7"/>
    <w:rsid w:val="00DD5407"/>
    <w:rsid w:val="00DD5AF2"/>
    <w:rsid w:val="00DE72DE"/>
    <w:rsid w:val="00E02FFC"/>
    <w:rsid w:val="00E04115"/>
    <w:rsid w:val="00E11B9B"/>
    <w:rsid w:val="00E24AA1"/>
    <w:rsid w:val="00E552AD"/>
    <w:rsid w:val="00E60247"/>
    <w:rsid w:val="00E6485A"/>
    <w:rsid w:val="00E6543E"/>
    <w:rsid w:val="00E67A93"/>
    <w:rsid w:val="00E84BC6"/>
    <w:rsid w:val="00E957ED"/>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mailto:schc.admin@nhs.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he-nhs-constitution-for-england/the-nhs-constitution-for-england" TargetMode="Externa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about-the-ico/what-we-do/register-of-fee-payer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image" Target="media/image1.png"/><Relationship Id="rId10" Type="http://schemas.openxmlformats.org/officeDocument/2006/relationships/hyperlink" Target="http://www.nhs.uk/your-nhs-data-matters" TargetMode="External"/><Relationship Id="rId19" Type="http://schemas.openxmlformats.org/officeDocument/2006/relationships/hyperlink" Target="mailto:schc.admin@nhs.net"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sonningcommonhealthcentre.co.uk/" TargetMode="External"/><Relationship Id="rId22" Type="http://schemas.openxmlformats.org/officeDocument/2006/relationships/hyperlink" Target="https://www.hra.nhs.uk/about-us/committees-and-services/confidentiality-advisory-grou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tel:01189722188" TargetMode="External"/><Relationship Id="rId2" Type="http://schemas.openxmlformats.org/officeDocument/2006/relationships/image" Target="media/image2.jpeg"/><Relationship Id="rId1" Type="http://schemas.openxmlformats.org/officeDocument/2006/relationships/hyperlink" Target="https://sonningcommonhealth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MCFARLANE, Andrea (SONNING COMMON HEALTH CTR)</cp:lastModifiedBy>
  <cp:revision>6</cp:revision>
  <cp:lastPrinted>2016-09-15T09:05:00Z</cp:lastPrinted>
  <dcterms:created xsi:type="dcterms:W3CDTF">2026-05-06T11:37:00Z</dcterms:created>
  <dcterms:modified xsi:type="dcterms:W3CDTF">2026-05-06T12:39:00Z</dcterms:modified>
</cp:coreProperties>
</file>